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不符合规定项目的小知识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32"/>
        </w:rPr>
      </w:pPr>
    </w:p>
    <w:p>
      <w:pPr>
        <w:overflowPunct w:val="0"/>
        <w:spacing w:line="54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、性状项下记载外观、臭、味、溶解度以及物理常数等，在一定程度上反映药品的质量特性。中药饮片性状项不符合规定，可能涉及药材种属偏差、炮制工艺有瑕疵、储存不当等情形。</w:t>
      </w:r>
    </w:p>
    <w:p>
      <w:pPr>
        <w:overflowPunct w:val="0"/>
        <w:spacing w:line="54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二、装量差异系反映药物均匀性的指标，是保证准确给药的重要参数之一。</w:t>
      </w:r>
    </w:p>
    <w:p>
      <w:pPr>
        <w:overflowPunct w:val="0"/>
        <w:spacing w:line="54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含量测定系指用规定的试验方法测定原料及制剂中有效成分的含量，一般可采用化学、仪器或生物测定方法。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pH值是氢离子浓度指数，作为酸</w:t>
      </w:r>
      <w:bookmarkStart w:id="0" w:name="_GoBack"/>
      <w:bookmarkEnd w:id="0"/>
      <w:r>
        <w:rPr>
          <w:rFonts w:eastAsia="仿宋_GB2312"/>
          <w:sz w:val="32"/>
          <w:szCs w:val="32"/>
        </w:rPr>
        <w:t>碱程度的衡量指标。</w:t>
      </w:r>
    </w:p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五、水分系指药品中的含水量。水分偏高通常与工艺、包装不当以及储运环境等因素有关。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146240"/>
    <w:rsid w:val="0090133E"/>
    <w:rsid w:val="00BB12EE"/>
    <w:rsid w:val="00D67046"/>
    <w:rsid w:val="00ED426B"/>
    <w:rsid w:val="4D1BA2DA"/>
    <w:rsid w:val="FF1EA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13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2024-12-26T01:17:00Z</dcterms:created>
  <dc:creator>pc</dc:creator>
  <cp:lastModifiedBy>张祎楠</cp:lastModifiedBy>
  <cp:lastPrinted>2025-01-14T14:22:38Z</cp:lastPrinted>
  <dcterms:modified xsi:type="dcterms:W3CDTF">2025-01-14T14:42:11Z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